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B6473">
      <w:pPr>
        <w:spacing w:line="580" w:lineRule="exact"/>
        <w:rPr>
          <w:rFonts w:ascii="Times New Roman" w:eastAsia="方正黑体_GBK"/>
          <w:szCs w:val="32"/>
        </w:rPr>
      </w:pPr>
      <w:bookmarkStart w:id="0" w:name="_GoBack"/>
      <w:r>
        <w:rPr>
          <w:rFonts w:ascii="Times New Roman" w:eastAsia="方正黑体_GBK"/>
          <w:szCs w:val="32"/>
        </w:rPr>
        <w:t>两江新区消防救援支队2025年政府专职消防员招录公告附件2</w:t>
      </w:r>
    </w:p>
    <w:bookmarkEnd w:id="0"/>
    <w:p w14:paraId="68805D82">
      <w:pPr>
        <w:jc w:val="center"/>
        <w:rPr>
          <w:rFonts w:ascii="Times New Roman" w:eastAsia="黑体"/>
          <w:sz w:val="44"/>
          <w:szCs w:val="44"/>
        </w:rPr>
      </w:pPr>
      <w:r>
        <w:rPr>
          <w:rFonts w:ascii="Times New Roman" w:eastAsia="黑体"/>
          <w:sz w:val="44"/>
          <w:szCs w:val="44"/>
        </w:rPr>
        <w:t>消防员职业健康标准(节选)</w:t>
      </w:r>
    </w:p>
    <w:p w14:paraId="0F99BA53">
      <w:pPr>
        <w:shd w:val="solid" w:color="FFFFFF" w:fill="auto"/>
        <w:autoSpaceDN w:val="0"/>
        <w:spacing w:line="560" w:lineRule="exact"/>
        <w:ind w:firstLine="640" w:firstLineChars="200"/>
        <w:jc w:val="left"/>
        <w:rPr>
          <w:rFonts w:ascii="Times New Roman"/>
          <w:szCs w:val="32"/>
        </w:rPr>
      </w:pPr>
    </w:p>
    <w:p w14:paraId="7CAB979C">
      <w:pPr>
        <w:spacing w:line="560" w:lineRule="exact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 xml:space="preserve">    4.1  体格</w:t>
      </w:r>
    </w:p>
    <w:p w14:paraId="118E4D04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申请加入消防组织的人员在加入消防组织前首先应进行体格检查。</w:t>
      </w:r>
    </w:p>
    <w:p w14:paraId="6CBEF59D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4.1.1  消防员体格检查应符合下列标准：</w:t>
      </w:r>
    </w:p>
    <w:p w14:paraId="1A821550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4.1.1.1  外科</w:t>
      </w:r>
    </w:p>
    <w:p w14:paraId="20117A17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a）身高：男性162cm以上，女性160cm以上：</w:t>
      </w:r>
    </w:p>
    <w:p w14:paraId="419D87FB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b）体重：男性  不超过标准体重的20%，不低于标准体重的10%。</w:t>
      </w:r>
    </w:p>
    <w:p w14:paraId="44D0DAB6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4.1.1.2  内科</w:t>
      </w:r>
    </w:p>
    <w:p w14:paraId="65E99927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a）血压  收缩压：90mmHg~130 mmHg，舒张压：60 mmHg~80 mmHg；</w:t>
      </w:r>
    </w:p>
    <w:p w14:paraId="305BF159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b）心率：安静状态下每分钟60次至100次之间或每分钟50至59次之间；</w:t>
      </w:r>
    </w:p>
    <w:p w14:paraId="65C8ABE1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c）呼吸、循环、消化、造血、内分泌、免疫系统以及皮肤黏膜毛发等正常；</w:t>
      </w:r>
    </w:p>
    <w:p w14:paraId="62F79DD7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d）中枢神经系统及周围神经系统正常；</w:t>
      </w:r>
    </w:p>
    <w:p w14:paraId="26A44A70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e）无代谢疾病及结缔组织疾病。</w:t>
      </w:r>
    </w:p>
    <w:p w14:paraId="5877E71A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4.1.1.3  耳、鼻、咽喉科</w:t>
      </w:r>
    </w:p>
    <w:p w14:paraId="080F6A62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a）听觉：纯音听力检查正常，双耳高频平均听阈小于40dB(HL) ，双耳语频平均听阈均小于25 dB(HL)；</w:t>
      </w:r>
    </w:p>
    <w:p w14:paraId="58E7B91D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b）嗅觉：嗅觉正常，能觉察燃烧物和异常气味。</w:t>
      </w:r>
    </w:p>
    <w:p w14:paraId="4B85C731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4.1.1.4  眼科</w:t>
      </w:r>
    </w:p>
    <w:p w14:paraId="5FDBF6AD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a）视力：双侧裸眼视力均不低于4.8，大专以上文化程度可放宽到较差眼裸眼视力不低于4.6；</w:t>
      </w:r>
    </w:p>
    <w:p w14:paraId="67542620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b）色觉：辨色力正常；</w:t>
      </w:r>
    </w:p>
    <w:p w14:paraId="62D42A92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c）视野：周围视野120°或更大。</w:t>
      </w:r>
    </w:p>
    <w:p w14:paraId="3363FEB9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4.1.1.5  其他专项检查</w:t>
      </w:r>
    </w:p>
    <w:p w14:paraId="1F2E3097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a）头颈部及人体外形适于穿着和有效使用个人防护装备；</w:t>
      </w:r>
    </w:p>
    <w:p w14:paraId="426911F0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b）呼吸面罩吻合试验合格。</w:t>
      </w:r>
    </w:p>
    <w:p w14:paraId="2EFA1951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有以下情况之一者，不应从事消防员工作。</w:t>
      </w:r>
    </w:p>
    <w:p w14:paraId="73775CC9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4.1.2.1  外科</w:t>
      </w:r>
    </w:p>
    <w:p w14:paraId="40DFB76A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a）外伤所致的颅骨缺损、骨折、凹陷等，颅脑外伤后遗症，颅骨或面部畸形，颅脑手术史；</w:t>
      </w:r>
    </w:p>
    <w:p w14:paraId="019796C1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b）劲强直，不能自行矫正的斜劲（可自行矫正的轻度脊柱侧弯、驼背除外），三度单纯性甲状腺肿，结核性淋巴结炎；</w:t>
      </w:r>
    </w:p>
    <w:p w14:paraId="70D018BF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c）骨、关节、滑囊、腱鞘疾病或损失及其后遗症（单纯性骨折，治愈一年后，复位良好，无功能障碍及后遗症除外），骨、关节畸形（大骨节病仅指《趾》关节粗大，无自觉症状，无功能障碍除外）习惯性脱臼，脊柱慢性疾病，慢性腰腿痛；</w:t>
      </w:r>
    </w:p>
    <w:p w14:paraId="4CB5DBE9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d）两下肢不等长超过2cm，膝内翻股骨内髁间距和膝外翻胫骨内踝间距离超过7cm，或虽在上述规定范围内但步态异常；</w:t>
      </w:r>
    </w:p>
    <w:p w14:paraId="2FAFF325">
      <w:pPr>
        <w:spacing w:line="560" w:lineRule="exact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e）影响功能的指（趾）残缺、畸形、足底弓完全消失的扁平足、影响长途行走的胼胝、重度皲裂症；</w:t>
      </w:r>
    </w:p>
    <w:p w14:paraId="47FC2552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f ) 恶性肿瘤，影响面容或功能的各部位良性肿瘤、囊肿、瘢痕、瘢痕体质；</w:t>
      </w:r>
    </w:p>
    <w:p w14:paraId="2295EBFC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g）脉管炎，动脉瘤，重度下肢静脉曲张、精索静脉曲张；</w:t>
      </w:r>
    </w:p>
    <w:p w14:paraId="5DBF838A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h）有胸、腹腔手术史（阑尾炎手术后半年以上，腹股沟疝手术、股疝手术后一年以上无后遗症者除外），疝、脱肛、肛痿，陈旧性肛裂，环状痔（直径大于0.5cm或超过）两个，经常发炎、出血的内外痔；</w:t>
      </w:r>
    </w:p>
    <w:p w14:paraId="3E0571A6">
      <w:pPr>
        <w:spacing w:line="560" w:lineRule="exact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 xml:space="preserve">   i）泌尿生殖系统炎症、结核、结石等疾病或损伤及其后遗症，影响功能的生殖器官畸形或发育不全，隐睾（无自觉症状的轻度非交通性精索鞘膜积液（不大于健侧睾丸），睾丸鞘膜积液（包括睾丸在内部不大于健侧睾丸一倍）；交通性鞘膜积液，手术治愈后一年以上无复发、后遗症；无压痛、无自觉症状的精索、副睾小结节（不超过二个，直径小于0.5cm）等三种情况除外）;</w:t>
      </w:r>
    </w:p>
    <w:p w14:paraId="3BF81178">
      <w:pPr>
        <w:spacing w:line="560" w:lineRule="exact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 xml:space="preserve">   j) 腋臭、头癣，泛发性体癣，疥疮，慢性湿疹，慢性荨麻疹，神经性皮炎，白癜风，与传染性麻风病人有密切接触史（共同生活）及其它有传染性或难以治愈的皮肤病，影响面容的血管痣和色素痣；</w:t>
      </w:r>
    </w:p>
    <w:p w14:paraId="7082E2DE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k）淋病，梅毒，软下疳和性病淋巴肉芽肿，非淋球菌性尿道炎，尖锐湿疣，艾滋病及病毒携带者。</w:t>
      </w:r>
    </w:p>
    <w:p w14:paraId="063BC705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4.1.2.2  内科</w:t>
      </w:r>
    </w:p>
    <w:p w14:paraId="3B94D806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a)器质性心脏、血管疾病；</w:t>
      </w:r>
    </w:p>
    <w:p w14:paraId="5FC6AAFB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b）慢性阻塞性肺疾病，支气管哮喘，咳嗽变异型哮喘、肺结核（孤立散在的钙化点，数量在3个以下，直径不超过0.5cm,密度高,边缘清晰,周围无浸润现象除外）,结核性胸膜炎,其它呼吸系统慢性疾病;</w:t>
      </w:r>
    </w:p>
    <w:p w14:paraId="006CEA62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c)胃、十二指肠、肝脏、胆囊、脾脏、胰腺疾病，细菌性痢疾，慢性肠炎，内脏下垂，腹部包块（以下三种情况除外:①仰卧位，平静呼吸，肝上界在正常范围，右锁骨中线肋缘下肝脏不超过1.5cm，剑突下不超过3cm，质软，边薄，平滑，无触痛或叩击痛，无贫血，营养状况良好者；②五年前患过甲型病毒性肝炎，治愈后未再复发，无症状和体征者；③既往曾患过疟疾、血吸虫病或黑热病引起的脾脏肿大，在左肋缘下不超过1cm，无自觉症状，无贫血，营养状况良好者）；</w:t>
      </w:r>
    </w:p>
    <w:p w14:paraId="29AB032B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d)肝功能异常；</w:t>
      </w:r>
    </w:p>
    <w:p w14:paraId="50994635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e)乙型肝炎表面抗原阳性；</w:t>
      </w:r>
    </w:p>
    <w:p w14:paraId="7CA96742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f)钩虫病（伴有贫血），慢性疟疾，血吸虫病，黑热病，阿米巴痢疾，丝虫病（丝虫病治愈半年以上，疟疾、黑热病、血吸虫病、阿米巴痢疾、钩端螺旋体病治愈两年以上无后遗症，全身情况良好，能担负重体力劳动除外）；</w:t>
      </w:r>
    </w:p>
    <w:p w14:paraId="72202670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g)有癫痫病、精神病（食物或药物中毒所引起的短时精神障碍，治愈后无后遗症除外）、梦游、晕厥史及神经症、智力低下、遗尿症（十三周岁后未发生过遗尿除外）；</w:t>
      </w:r>
    </w:p>
    <w:p w14:paraId="3C4FAA6F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h)中枢神经系统及周围神经系统疾病及其后遗症；</w:t>
      </w:r>
    </w:p>
    <w:p w14:paraId="5979854E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i)口吃。</w:t>
      </w:r>
    </w:p>
    <w:p w14:paraId="0EB8469D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4.1.2.3  耳、鼻、咽喉科</w:t>
      </w:r>
    </w:p>
    <w:p w14:paraId="287C10FE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a)眩晕症，重度晕车、晕船、恐高；</w:t>
      </w:r>
    </w:p>
    <w:p w14:paraId="1FE5C5D1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b)耳廓畸形，外耳道闭锁，反复发炎的耳前瘘管，耳廓、外耳道湿疹，耳霉菌病；</w:t>
      </w:r>
    </w:p>
    <w:p w14:paraId="6F5969FC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c)鼓膜穿孔，化脓性中耳炎，乳突炎及其它难以治愈的耳病；</w:t>
      </w:r>
    </w:p>
    <w:p w14:paraId="651B229E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d)鼻畸形，慢性副鼻窦炎，重度肥厚性鼻炎、萎缩性鼻炎，鼻息肉，中鼻甲息肉样变，变应性鼻炎，鼻腔、鼻窦囊肿，鼻腔、鼻窦肿瘤，重度鼻中隔偏曲症及其它影响鼻功能的慢性鼻病（不影响副鼻窦引流的中鼻甲肥大，中鼻道有少量粘液脓性分泌物，轻度萎缩性鼻炎除外）；</w:t>
      </w:r>
    </w:p>
    <w:p w14:paraId="45096E64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e)慢性扁桃体炎，影响吞咽、发音功能难以治愈的咽、喉疾病。</w:t>
      </w:r>
    </w:p>
    <w:p w14:paraId="7ABDCD43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4.1.2.4  眼科</w:t>
      </w:r>
    </w:p>
    <w:p w14:paraId="12ED67CA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a)影响眼功能的眼睑、睑缘、结膜、泪器疾病；</w:t>
      </w:r>
    </w:p>
    <w:p w14:paraId="3DC98E31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b)眼球突出，眼球震颤，眼肌疾病；</w:t>
      </w:r>
    </w:p>
    <w:p w14:paraId="0D6D51FC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c)角膜、巩膜、虹膜睫状体疾病（不影响视力的角膜云翳除外），瞳孔变形、运动障碍；</w:t>
      </w:r>
    </w:p>
    <w:p w14:paraId="06DB81C5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d)晶状体、玻璃体、脉络膜、视神经疾病（先天性少数散在的晶体小混浊点除外），青光眼。</w:t>
      </w:r>
    </w:p>
    <w:p w14:paraId="11B300E6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4.1.2.5 口腔科</w:t>
      </w:r>
    </w:p>
    <w:p w14:paraId="50B2603A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a)三度龋齿、齿缺失并列在一起的超过二个，不在一起的超过三个；颌关节疾病，重度牙周病及影响咀嚼功能的口腔疾病；</w:t>
      </w:r>
    </w:p>
    <w:p w14:paraId="07302EAC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b)慢性腮腺炎，腮腺囊肿。</w:t>
      </w:r>
    </w:p>
    <w:p w14:paraId="769EB5EF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4.1.2.6影响消防员正常履行其职责的其他疾病。</w:t>
      </w:r>
    </w:p>
    <w:p w14:paraId="7FA2992F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4.1.3消防员体格检查方法：</w:t>
      </w:r>
    </w:p>
    <w:p w14:paraId="0BB61CD0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a)纯音听力测试按GB/T7583和GB/T16403规定执行，平均听阈的计算按GBZ49规定执行；</w:t>
      </w:r>
    </w:p>
    <w:p w14:paraId="7C91AF72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b)呼吸面罩吻合试验方法另行制定；</w:t>
      </w:r>
    </w:p>
    <w:p w14:paraId="710BAA58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c)其他医学检查方法按GBZ188规定执行。</w:t>
      </w:r>
    </w:p>
    <w:p w14:paraId="3E795A3E">
      <w:pPr>
        <w:spacing w:line="560" w:lineRule="exact"/>
        <w:ind w:firstLine="640" w:firstLineChars="200"/>
        <w:rPr>
          <w:rFonts w:ascii="Times New Roman" w:eastAsia="方正仿宋_GBK"/>
          <w:szCs w:val="32"/>
        </w:rPr>
      </w:pPr>
      <w:r>
        <w:rPr>
          <w:rFonts w:ascii="Times New Roman" w:eastAsia="方正仿宋_GBK"/>
          <w:szCs w:val="32"/>
        </w:rPr>
        <w:t>4.1.4消防员体格检查结果中，如有三项以上指标处于本4.1.1款规定的临界，应从严掌握；对心、肺、肝、脾、肾等重要器官的病症，传染性疾病，慢性疾病应严格把关。</w:t>
      </w:r>
    </w:p>
    <w:p w14:paraId="519E0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43929"/>
    <w:rsid w:val="2C910794"/>
    <w:rsid w:val="63243929"/>
    <w:rsid w:val="6F2B1F4C"/>
    <w:rsid w:val="765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firstLine="200" w:firstLineChars="200"/>
      <w:outlineLvl w:val="1"/>
    </w:pPr>
    <w:rPr>
      <w:rFonts w:eastAsia="黑体" w:asciiTheme="majorAscii" w:hAnsiTheme="majorAscii" w:cstheme="majorBidi"/>
      <w:b/>
      <w:bCs/>
      <w:szCs w:val="3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firstLine="200" w:firstLineChars="200"/>
      <w:outlineLvl w:val="2"/>
    </w:pPr>
    <w:rPr>
      <w:rFonts w:eastAsia="宋体"/>
      <w:b/>
      <w:bCs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2"/>
    <w:qFormat/>
    <w:uiPriority w:val="9"/>
    <w:rPr>
      <w:rFonts w:eastAsia="黑体" w:asciiTheme="majorAscii" w:hAnsiTheme="majorAscii" w:cstheme="majorBidi"/>
      <w:b/>
      <w:bCs/>
      <w:sz w:val="24"/>
      <w:szCs w:val="32"/>
    </w:rPr>
  </w:style>
  <w:style w:type="character" w:customStyle="1" w:styleId="7">
    <w:name w:val="标题 3 字符"/>
    <w:basedOn w:val="5"/>
    <w:link w:val="3"/>
    <w:qFormat/>
    <w:uiPriority w:val="9"/>
    <w:rPr>
      <w:rFonts w:eastAsia="宋体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2025-10-11T10:13:00Z</dcterms:created>
  <dc:creator>sy</dc:creator>
  <cp:lastModifiedBy>sy</cp:lastModifiedBy>
  <dcterms:modified xsi:type="dcterms:W3CDTF">2025-10-11T10:13:46Z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9AE059385A7B45289CC1C93E82CD9645_11</vt:lpwstr>
  </property>
  <property fmtid="{D5CDD505-2E9C-101B-9397-08002B2CF9AE}" pid="4" name="KSOTemplateDocerSaveRecord">
    <vt:lpwstr>eyJoZGlkIjoiMmJmODliMDY3YmFhYTk4MzkxNWQyYTM1YjI1ZmU4N2IiLCJ1c2VySWQiOiI0MDUzNDAwMzgifQ==</vt:lpwstr>
  </property>
</Properties>
</file>